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ED4" w:rsidRPr="001912B9" w:rsidRDefault="00071ED4" w:rsidP="00071ED4">
      <w:pPr>
        <w:pStyle w:val="style1"/>
        <w:spacing w:before="0" w:beforeAutospacing="0" w:after="0" w:afterAutospacing="0"/>
        <w:jc w:val="center"/>
      </w:pPr>
      <w:r w:rsidRPr="001912B9">
        <w:rPr>
          <w:b/>
          <w:bCs/>
          <w:lang w:val="es-ES_tradnl"/>
        </w:rPr>
        <w:t>OFICIO N° 039732</w:t>
      </w:r>
    </w:p>
    <w:p w:rsidR="00071ED4" w:rsidRPr="001912B9" w:rsidRDefault="00071ED4" w:rsidP="00071ED4">
      <w:pPr>
        <w:pStyle w:val="style1"/>
        <w:spacing w:before="0" w:beforeAutospacing="0" w:after="0" w:afterAutospacing="0"/>
        <w:jc w:val="center"/>
      </w:pPr>
      <w:r w:rsidRPr="001912B9">
        <w:rPr>
          <w:b/>
          <w:bCs/>
          <w:lang w:val="es-ES_tradnl"/>
        </w:rPr>
        <w:t>27-06-2013</w:t>
      </w:r>
    </w:p>
    <w:p w:rsidR="00071ED4" w:rsidRPr="001912B9" w:rsidRDefault="00071ED4" w:rsidP="00071ED4">
      <w:pPr>
        <w:pStyle w:val="style1"/>
        <w:spacing w:before="0" w:beforeAutospacing="0" w:after="0" w:afterAutospacing="0"/>
        <w:jc w:val="center"/>
      </w:pPr>
      <w:r w:rsidRPr="001912B9">
        <w:rPr>
          <w:b/>
          <w:bCs/>
          <w:lang w:val="es-ES_tradnl"/>
        </w:rPr>
        <w:t>DIAN</w:t>
      </w:r>
    </w:p>
    <w:p w:rsidR="00071ED4" w:rsidRPr="001912B9" w:rsidRDefault="00071ED4" w:rsidP="00071ED4">
      <w:pPr>
        <w:pStyle w:val="style1"/>
        <w:spacing w:before="0" w:beforeAutospacing="0" w:after="0" w:afterAutospacing="0"/>
        <w:jc w:val="both"/>
      </w:pPr>
      <w:r w:rsidRPr="001912B9">
        <w:rPr>
          <w:b/>
          <w:bCs/>
          <w:lang w:val="es-ES_tradnl"/>
        </w:rPr>
        <w:t> </w:t>
      </w:r>
    </w:p>
    <w:p w:rsidR="00071ED4" w:rsidRPr="001912B9" w:rsidRDefault="00071ED4" w:rsidP="00071ED4">
      <w:pPr>
        <w:pStyle w:val="style1"/>
        <w:spacing w:before="0" w:beforeAutospacing="0" w:after="0" w:afterAutospacing="0"/>
        <w:jc w:val="both"/>
      </w:pPr>
      <w:r w:rsidRPr="001912B9">
        <w:rPr>
          <w:b/>
          <w:bCs/>
          <w:lang w:val="es-ES_tradnl"/>
        </w:rPr>
        <w:t> </w:t>
      </w:r>
    </w:p>
    <w:p w:rsidR="00071ED4" w:rsidRPr="001912B9" w:rsidRDefault="00071ED4" w:rsidP="00071ED4">
      <w:pPr>
        <w:pStyle w:val="style3"/>
        <w:spacing w:before="0" w:beforeAutospacing="0" w:after="0" w:afterAutospacing="0"/>
        <w:jc w:val="both"/>
      </w:pPr>
      <w:r w:rsidRPr="001912B9">
        <w:rPr>
          <w:rStyle w:val="characterstyle1"/>
          <w:lang w:val="es-ES_tradnl"/>
        </w:rPr>
        <w:t> </w:t>
      </w:r>
    </w:p>
    <w:p w:rsidR="00071ED4" w:rsidRPr="001912B9" w:rsidRDefault="00071ED4" w:rsidP="00071ED4">
      <w:pPr>
        <w:pStyle w:val="style3"/>
        <w:spacing w:before="0" w:beforeAutospacing="0" w:after="0" w:afterAutospacing="0"/>
        <w:jc w:val="both"/>
      </w:pPr>
      <w:r w:rsidRPr="001912B9">
        <w:rPr>
          <w:rStyle w:val="characterstyle1"/>
          <w:b/>
          <w:bCs/>
          <w:lang w:val="es-ES_tradnl"/>
        </w:rPr>
        <w:t>TEMA:</w:t>
      </w:r>
      <w:r w:rsidRPr="001912B9">
        <w:rPr>
          <w:rStyle w:val="apple-converted-space"/>
          <w:b/>
          <w:bCs/>
          <w:lang w:val="es-ES_tradnl"/>
        </w:rPr>
        <w:t> </w:t>
      </w:r>
      <w:r w:rsidRPr="001912B9">
        <w:rPr>
          <w:rStyle w:val="characterstyle1"/>
          <w:lang w:val="es-ES_tradnl"/>
        </w:rPr>
        <w:t>Impuesto sobre la renta para la equidad - CREE</w:t>
      </w:r>
    </w:p>
    <w:p w:rsidR="000A40DB" w:rsidRPr="00EB0764" w:rsidRDefault="000A40DB" w:rsidP="00071ED4">
      <w:pPr>
        <w:pStyle w:val="style3"/>
        <w:spacing w:before="0" w:beforeAutospacing="0" w:after="0" w:afterAutospacing="0"/>
        <w:jc w:val="both"/>
        <w:rPr>
          <w:rStyle w:val="characterstyle1"/>
          <w:b/>
          <w:bCs/>
        </w:rPr>
      </w:pPr>
      <w:bookmarkStart w:id="0" w:name="_GoBack"/>
      <w:bookmarkEnd w:id="0"/>
    </w:p>
    <w:p w:rsidR="00071ED4" w:rsidRPr="001912B9" w:rsidRDefault="00071ED4" w:rsidP="00071ED4">
      <w:pPr>
        <w:pStyle w:val="style3"/>
        <w:spacing w:before="0" w:beforeAutospacing="0" w:after="0" w:afterAutospacing="0"/>
        <w:jc w:val="both"/>
      </w:pPr>
      <w:r w:rsidRPr="001912B9">
        <w:rPr>
          <w:rStyle w:val="characterstyle1"/>
          <w:b/>
          <w:bCs/>
          <w:lang w:val="es-ES_tradnl"/>
        </w:rPr>
        <w:t>DESCRIPTORES:</w:t>
      </w:r>
      <w:r w:rsidRPr="001912B9">
        <w:rPr>
          <w:rStyle w:val="apple-converted-space"/>
          <w:b/>
          <w:bCs/>
          <w:lang w:val="es-ES_tradnl"/>
        </w:rPr>
        <w:t> </w:t>
      </w:r>
      <w:r w:rsidRPr="001912B9">
        <w:rPr>
          <w:rStyle w:val="characterstyle1"/>
          <w:lang w:val="es-ES_tradnl"/>
        </w:rPr>
        <w:t>Retención en la fuente</w:t>
      </w:r>
    </w:p>
    <w:p w:rsidR="000A40DB" w:rsidRDefault="000A40DB" w:rsidP="00071ED4">
      <w:pPr>
        <w:pStyle w:val="style3"/>
        <w:spacing w:before="0" w:beforeAutospacing="0" w:after="0" w:afterAutospacing="0"/>
        <w:jc w:val="both"/>
        <w:rPr>
          <w:rStyle w:val="characterstyle1"/>
          <w:b/>
          <w:bCs/>
        </w:rPr>
      </w:pPr>
    </w:p>
    <w:p w:rsidR="00071ED4" w:rsidRPr="001912B9" w:rsidRDefault="00071ED4" w:rsidP="00071ED4">
      <w:pPr>
        <w:pStyle w:val="style3"/>
        <w:spacing w:before="0" w:beforeAutospacing="0" w:after="0" w:afterAutospacing="0"/>
        <w:jc w:val="both"/>
      </w:pPr>
      <w:r w:rsidRPr="001912B9">
        <w:rPr>
          <w:rStyle w:val="characterstyle1"/>
          <w:b/>
          <w:bCs/>
          <w:lang w:val="es-ES_tradnl"/>
        </w:rPr>
        <w:t>FUENTES FORMALES:</w:t>
      </w:r>
      <w:r w:rsidRPr="001912B9">
        <w:rPr>
          <w:rStyle w:val="apple-converted-space"/>
          <w:b/>
          <w:bCs/>
          <w:lang w:val="es-ES_tradnl"/>
        </w:rPr>
        <w:t> </w:t>
      </w:r>
      <w:r w:rsidRPr="001912B9">
        <w:rPr>
          <w:rStyle w:val="characterstyle1"/>
          <w:lang w:val="es-ES_tradnl"/>
        </w:rPr>
        <w:t>Ley 1607 de 2012</w:t>
      </w:r>
      <w:r w:rsidRPr="001912B9">
        <w:rPr>
          <w:rStyle w:val="apple-converted-space"/>
          <w:lang w:val="es-ES_tradnl"/>
        </w:rPr>
        <w:t> </w:t>
      </w:r>
      <w:proofErr w:type="spellStart"/>
      <w:r w:rsidRPr="001912B9">
        <w:rPr>
          <w:rStyle w:val="spelle"/>
          <w:lang w:val="es-ES_tradnl"/>
        </w:rPr>
        <w:t>arts</w:t>
      </w:r>
      <w:proofErr w:type="spellEnd"/>
      <w:r w:rsidRPr="001912B9">
        <w:rPr>
          <w:rStyle w:val="apple-converted-space"/>
          <w:lang w:val="es-ES_tradnl"/>
        </w:rPr>
        <w:t> </w:t>
      </w:r>
      <w:r w:rsidRPr="001912B9">
        <w:rPr>
          <w:rStyle w:val="characterstyle1"/>
          <w:lang w:val="es-ES_tradnl"/>
        </w:rPr>
        <w:t>20 y</w:t>
      </w:r>
      <w:r w:rsidRPr="001912B9">
        <w:rPr>
          <w:rStyle w:val="apple-converted-space"/>
          <w:lang w:val="es-ES_tradnl"/>
        </w:rPr>
        <w:t> </w:t>
      </w:r>
      <w:proofErr w:type="spellStart"/>
      <w:r w:rsidRPr="001912B9">
        <w:rPr>
          <w:rStyle w:val="spelle"/>
          <w:lang w:val="es-ES_tradnl"/>
        </w:rPr>
        <w:t>ss</w:t>
      </w:r>
      <w:proofErr w:type="spellEnd"/>
      <w:r w:rsidRPr="001912B9">
        <w:rPr>
          <w:rStyle w:val="characterstyle1"/>
          <w:lang w:val="es-ES_tradnl"/>
        </w:rPr>
        <w:t>, Decreto 862 de 2013.</w:t>
      </w:r>
    </w:p>
    <w:p w:rsidR="00071ED4" w:rsidRPr="001912B9" w:rsidRDefault="00071ED4" w:rsidP="00071ED4">
      <w:pPr>
        <w:pStyle w:val="style1"/>
        <w:spacing w:before="0" w:beforeAutospacing="0" w:after="0" w:afterAutospacing="0"/>
        <w:jc w:val="both"/>
      </w:pPr>
      <w:r w:rsidRPr="001912B9">
        <w:t> </w:t>
      </w:r>
    </w:p>
    <w:p w:rsidR="00071ED4" w:rsidRPr="001912B9" w:rsidRDefault="00071ED4" w:rsidP="00071ED4">
      <w:pPr>
        <w:pStyle w:val="style1"/>
        <w:spacing w:before="0" w:beforeAutospacing="0" w:after="0" w:afterAutospacing="0"/>
        <w:jc w:val="both"/>
      </w:pPr>
      <w:r w:rsidRPr="001912B9">
        <w:t> </w:t>
      </w:r>
    </w:p>
    <w:p w:rsidR="00071ED4" w:rsidRPr="001912B9" w:rsidRDefault="00071ED4" w:rsidP="00071ED4">
      <w:pPr>
        <w:pStyle w:val="style1"/>
        <w:spacing w:before="0" w:beforeAutospacing="0" w:after="0" w:afterAutospacing="0"/>
        <w:jc w:val="both"/>
      </w:pPr>
      <w:r w:rsidRPr="001912B9">
        <w:rPr>
          <w:lang w:val="es-ES_tradnl"/>
        </w:rPr>
        <w:t>Señor</w:t>
      </w:r>
    </w:p>
    <w:p w:rsidR="00071ED4" w:rsidRPr="001912B9" w:rsidRDefault="00071ED4" w:rsidP="00071ED4">
      <w:pPr>
        <w:pStyle w:val="style1"/>
        <w:spacing w:before="0" w:beforeAutospacing="0" w:after="0" w:afterAutospacing="0"/>
        <w:jc w:val="both"/>
      </w:pPr>
      <w:r w:rsidRPr="001912B9">
        <w:rPr>
          <w:b/>
          <w:bCs/>
          <w:lang w:val="es-ES_tradnl"/>
        </w:rPr>
        <w:t>EMILIO RUÍZ JIMÉNEZ</w:t>
      </w:r>
    </w:p>
    <w:p w:rsidR="00071ED4" w:rsidRPr="001912B9" w:rsidRDefault="00071ED4" w:rsidP="00071ED4">
      <w:pPr>
        <w:pStyle w:val="style1"/>
        <w:spacing w:before="0" w:beforeAutospacing="0" w:after="0" w:afterAutospacing="0"/>
        <w:jc w:val="both"/>
      </w:pPr>
      <w:proofErr w:type="spellStart"/>
      <w:r w:rsidRPr="001912B9">
        <w:rPr>
          <w:rStyle w:val="spelle"/>
          <w:lang w:val="es-ES_tradnl"/>
        </w:rPr>
        <w:t>Zarama&amp;Asociados</w:t>
      </w:r>
      <w:proofErr w:type="spellEnd"/>
      <w:r w:rsidRPr="001912B9">
        <w:rPr>
          <w:rStyle w:val="apple-converted-space"/>
          <w:lang w:val="es-ES_tradnl"/>
        </w:rPr>
        <w:t> </w:t>
      </w:r>
      <w:r w:rsidRPr="001912B9">
        <w:rPr>
          <w:lang w:val="es-ES_tradnl"/>
        </w:rPr>
        <w:t>Consultores S.A.S.</w:t>
      </w:r>
    </w:p>
    <w:p w:rsidR="00071ED4" w:rsidRPr="001912B9" w:rsidRDefault="00071ED4" w:rsidP="00071ED4">
      <w:pPr>
        <w:pStyle w:val="style2"/>
        <w:spacing w:before="0" w:beforeAutospacing="0" w:after="0" w:afterAutospacing="0"/>
        <w:jc w:val="both"/>
        <w:rPr>
          <w:rStyle w:val="characterstyle1"/>
        </w:rPr>
      </w:pPr>
    </w:p>
    <w:p w:rsidR="00071ED4" w:rsidRPr="001912B9" w:rsidRDefault="00071ED4" w:rsidP="00071ED4">
      <w:pPr>
        <w:pStyle w:val="style2"/>
        <w:spacing w:before="0" w:beforeAutospacing="0" w:after="0" w:afterAutospacing="0"/>
        <w:jc w:val="both"/>
      </w:pPr>
      <w:r w:rsidRPr="001912B9">
        <w:rPr>
          <w:rStyle w:val="characterstyle1"/>
        </w:rPr>
        <w:t> </w:t>
      </w:r>
    </w:p>
    <w:p w:rsidR="00071ED4" w:rsidRPr="001912B9" w:rsidRDefault="00071ED4" w:rsidP="00071ED4">
      <w:pPr>
        <w:pStyle w:val="style2"/>
        <w:spacing w:before="0" w:beforeAutospacing="0" w:after="0" w:afterAutospacing="0"/>
        <w:jc w:val="both"/>
      </w:pPr>
      <w:r w:rsidRPr="001912B9">
        <w:rPr>
          <w:rStyle w:val="characterstyle1"/>
          <w:lang w:val="es-ES_tradnl"/>
        </w:rPr>
        <w:t>De conformidad con lo dispuesto en el artículo 20 del Decreto 4048 de 2008 y la Orden Administrativa 000006 del 21 de agosto de 2009, la Subdirección de Gestión Normativa y Doctrina está facultada para absolver de manera general las consultas escritas que se formulen sobre interpretación y aplicación de las normas tributarias nacionales, en materia aduanera o de comercio exterior, en lo de competencia de la DIAN, razón por la cual su consulta se absolverá en el marco de la citada competencia.</w:t>
      </w:r>
    </w:p>
    <w:p w:rsidR="00071ED4" w:rsidRPr="001912B9" w:rsidRDefault="00071ED4" w:rsidP="00071ED4">
      <w:pPr>
        <w:pStyle w:val="style2"/>
        <w:spacing w:before="0" w:beforeAutospacing="0" w:after="0" w:afterAutospacing="0"/>
        <w:jc w:val="both"/>
      </w:pPr>
      <w:r w:rsidRPr="001912B9">
        <w:rPr>
          <w:rStyle w:val="characterstyle1"/>
          <w:lang w:val="es-ES_tradnl"/>
        </w:rPr>
        <w:t> </w:t>
      </w:r>
    </w:p>
    <w:p w:rsidR="00071ED4" w:rsidRPr="001912B9" w:rsidRDefault="00071ED4" w:rsidP="00071ED4">
      <w:pPr>
        <w:pStyle w:val="style2"/>
        <w:spacing w:before="0" w:beforeAutospacing="0" w:after="0" w:afterAutospacing="0"/>
        <w:jc w:val="both"/>
        <w:rPr>
          <w:b/>
        </w:rPr>
      </w:pPr>
      <w:r w:rsidRPr="001912B9">
        <w:rPr>
          <w:rStyle w:val="characterstyle1"/>
          <w:b/>
          <w:lang w:val="es-ES_tradnl"/>
        </w:rPr>
        <w:t>1-</w:t>
      </w:r>
      <w:r w:rsidRPr="001912B9">
        <w:rPr>
          <w:rStyle w:val="apple-converted-space"/>
          <w:b/>
          <w:lang w:val="es-ES_tradnl"/>
        </w:rPr>
        <w:t> </w:t>
      </w:r>
      <w:r w:rsidRPr="001912B9">
        <w:rPr>
          <w:rStyle w:val="characterstyle1"/>
          <w:b/>
          <w:lang w:val="es-ES_tradnl"/>
        </w:rPr>
        <w:t>Pregunta cuál es la actividad económica a tener en cuenta para efectos de la práctica de retención en la fuente por el impuesto sobre la renta para la equidad CREE, cuando el sujeto pasivo de la misma realiza varias actividades.</w:t>
      </w:r>
    </w:p>
    <w:p w:rsidR="00071ED4" w:rsidRPr="001912B9" w:rsidRDefault="00071ED4" w:rsidP="00071ED4">
      <w:pPr>
        <w:pStyle w:val="style2"/>
        <w:spacing w:before="0" w:beforeAutospacing="0" w:after="0" w:afterAutospacing="0"/>
        <w:jc w:val="both"/>
      </w:pPr>
      <w:r w:rsidRPr="001912B9">
        <w:rPr>
          <w:rStyle w:val="characterstyle1"/>
          <w:lang w:val="es-ES_tradnl"/>
        </w:rPr>
        <w:t> </w:t>
      </w:r>
    </w:p>
    <w:p w:rsidR="00071ED4" w:rsidRPr="001912B9" w:rsidRDefault="00071ED4" w:rsidP="00071ED4">
      <w:pPr>
        <w:pStyle w:val="style2"/>
        <w:spacing w:before="0" w:beforeAutospacing="0" w:after="0" w:afterAutospacing="0"/>
        <w:jc w:val="both"/>
      </w:pPr>
      <w:r w:rsidRPr="001912B9">
        <w:rPr>
          <w:rStyle w:val="characterstyle1"/>
          <w:lang w:val="es-ES_tradnl"/>
        </w:rPr>
        <w:t>Sobre este aspecto, el parágrafo del artículo</w:t>
      </w:r>
      <w:r w:rsidRPr="001912B9">
        <w:rPr>
          <w:rStyle w:val="apple-converted-space"/>
          <w:lang w:val="es-ES_tradnl"/>
        </w:rPr>
        <w:t> </w:t>
      </w:r>
      <w:r w:rsidRPr="001912B9">
        <w:rPr>
          <w:rStyle w:val="spelle"/>
          <w:lang w:val="es-ES_tradnl"/>
        </w:rPr>
        <w:t>2do</w:t>
      </w:r>
      <w:r w:rsidRPr="001912B9">
        <w:rPr>
          <w:rStyle w:val="apple-converted-space"/>
          <w:lang w:val="es-ES_tradnl"/>
        </w:rPr>
        <w:t> </w:t>
      </w:r>
      <w:r w:rsidRPr="001912B9">
        <w:rPr>
          <w:rStyle w:val="characterstyle1"/>
          <w:lang w:val="es-ES_tradnl"/>
        </w:rPr>
        <w:t xml:space="preserve">del Decreto 862 de 2013 claramente consagra: "La tarifa de retención en la fuente aplicable a los pagos realizados a los sujetos pasivos del impuesto sobre la renta para la equidad – </w:t>
      </w:r>
      <w:r w:rsidRPr="001912B9">
        <w:rPr>
          <w:rStyle w:val="characterstyle1"/>
          <w:b/>
          <w:lang w:val="es-ES_tradnl"/>
        </w:rPr>
        <w:t>CREE será la que corresponda a la actividad económica principal que realizan</w:t>
      </w:r>
      <w:r w:rsidRPr="001912B9">
        <w:rPr>
          <w:rStyle w:val="characterstyle1"/>
          <w:lang w:val="es-ES_tradnl"/>
        </w:rPr>
        <w:t>, de conformidad con los códigos previstos en la Resolución 139 de 2012, modificada por la Resolución 154 de 2012, expedidas por la</w:t>
      </w:r>
      <w:r w:rsidRPr="001912B9">
        <w:rPr>
          <w:rStyle w:val="apple-converted-space"/>
          <w:lang w:val="es-ES_tradnl"/>
        </w:rPr>
        <w:t> </w:t>
      </w:r>
      <w:r w:rsidRPr="001912B9">
        <w:rPr>
          <w:rStyle w:val="spelle"/>
          <w:lang w:val="es-ES_tradnl"/>
        </w:rPr>
        <w:t>U.A.E</w:t>
      </w:r>
      <w:r w:rsidRPr="001912B9">
        <w:rPr>
          <w:rStyle w:val="characterstyle1"/>
          <w:lang w:val="es-ES_tradnl"/>
        </w:rPr>
        <w:t>. Dirección de Impuestos y Aduanas Nacionales (DIAN), independientemente de que los sujetos pasivos hayan o no hayan actualizado su actividad económica principal en el Registro Único Tributario (RUT), a la fecha de entrada en vigencia del presente decreto. Corresponderá al retenido exhibir al agente retenedor el Registro Único Tributario (RUT), si este está actualizado. De lo contrario, manifestará, bajo la gravedad del juramento, la actividad económica principal que realiza conforme lo previsto en este inciso.”</w:t>
      </w:r>
    </w:p>
    <w:p w:rsidR="00071ED4" w:rsidRPr="001912B9" w:rsidRDefault="00071ED4" w:rsidP="00071ED4">
      <w:pPr>
        <w:pStyle w:val="style2"/>
        <w:spacing w:before="0" w:beforeAutospacing="0" w:after="0" w:afterAutospacing="0"/>
        <w:jc w:val="both"/>
      </w:pPr>
      <w:r w:rsidRPr="001912B9">
        <w:rPr>
          <w:rStyle w:val="characterstyle1"/>
          <w:lang w:val="es-ES_tradnl"/>
        </w:rPr>
        <w:t> </w:t>
      </w:r>
    </w:p>
    <w:p w:rsidR="00071ED4" w:rsidRPr="001912B9" w:rsidRDefault="00071ED4" w:rsidP="00071ED4">
      <w:pPr>
        <w:pStyle w:val="style2"/>
        <w:spacing w:before="0" w:beforeAutospacing="0" w:after="0" w:afterAutospacing="0"/>
        <w:jc w:val="both"/>
        <w:rPr>
          <w:b/>
        </w:rPr>
      </w:pPr>
      <w:r w:rsidRPr="001912B9">
        <w:rPr>
          <w:rStyle w:val="characterstyle1"/>
          <w:b/>
          <w:lang w:val="es-ES_tradnl"/>
        </w:rPr>
        <w:t>2-</w:t>
      </w:r>
      <w:r w:rsidRPr="001912B9">
        <w:rPr>
          <w:rStyle w:val="apple-converted-space"/>
          <w:b/>
          <w:lang w:val="es-ES_tradnl"/>
        </w:rPr>
        <w:t> </w:t>
      </w:r>
      <w:r w:rsidRPr="001912B9">
        <w:rPr>
          <w:rStyle w:val="characterstyle1"/>
          <w:b/>
          <w:lang w:val="es-ES_tradnl"/>
        </w:rPr>
        <w:t xml:space="preserve">Entiende este Despacho que la segunda pregunta se refiere a si para efectos de efectuar la </w:t>
      </w:r>
      <w:proofErr w:type="spellStart"/>
      <w:r w:rsidRPr="001912B9">
        <w:rPr>
          <w:rStyle w:val="characterstyle1"/>
          <w:b/>
          <w:lang w:val="es-ES_tradnl"/>
        </w:rPr>
        <w:t>autorretención</w:t>
      </w:r>
      <w:proofErr w:type="spellEnd"/>
      <w:r w:rsidRPr="001912B9">
        <w:rPr>
          <w:rStyle w:val="characterstyle1"/>
          <w:b/>
          <w:lang w:val="es-ES_tradnl"/>
        </w:rPr>
        <w:t xml:space="preserve"> en el impuesto sobre la renta para la equidad CREE, se consideran de igual manera los conceptos que en el impuesto sobre la renta y complementarios no son gravados.</w:t>
      </w:r>
    </w:p>
    <w:p w:rsidR="00071ED4" w:rsidRPr="001912B9" w:rsidRDefault="00071ED4" w:rsidP="00071ED4">
      <w:pPr>
        <w:pStyle w:val="style1"/>
        <w:spacing w:before="0" w:beforeAutospacing="0" w:after="0" w:afterAutospacing="0"/>
        <w:jc w:val="both"/>
      </w:pPr>
      <w:r w:rsidRPr="001912B9">
        <w:t> </w:t>
      </w:r>
    </w:p>
    <w:p w:rsidR="00071ED4" w:rsidRPr="001912B9" w:rsidRDefault="00071ED4" w:rsidP="00071ED4">
      <w:pPr>
        <w:pStyle w:val="style1"/>
        <w:spacing w:before="0" w:beforeAutospacing="0" w:after="0" w:afterAutospacing="0"/>
        <w:jc w:val="both"/>
      </w:pPr>
      <w:r w:rsidRPr="001912B9">
        <w:rPr>
          <w:lang w:val="es-ES_tradnl"/>
        </w:rPr>
        <w:lastRenderedPageBreak/>
        <w:t>Al respecto, hay que precisar que para efectos del impuesto sobre la renta para la equidad- CREE, la retención en la fuente debe efectuarse sobre el total del pago o abono en cuenta gravado con este impuesto que se efectúe a los beneficiarios sujetos pasivos del mismo.</w:t>
      </w:r>
    </w:p>
    <w:p w:rsidR="00071ED4" w:rsidRPr="001912B9" w:rsidRDefault="00071ED4" w:rsidP="00071ED4">
      <w:pPr>
        <w:pStyle w:val="style4"/>
        <w:spacing w:before="0" w:beforeAutospacing="0" w:after="0" w:afterAutospacing="0"/>
        <w:jc w:val="both"/>
      </w:pPr>
      <w:r w:rsidRPr="001912B9">
        <w:rPr>
          <w:rStyle w:val="characterstyle1"/>
        </w:rPr>
        <w:t> </w:t>
      </w:r>
    </w:p>
    <w:p w:rsidR="00071ED4" w:rsidRPr="001912B9" w:rsidRDefault="00071ED4" w:rsidP="00071ED4">
      <w:pPr>
        <w:pStyle w:val="style4"/>
        <w:spacing w:before="0" w:beforeAutospacing="0" w:after="0" w:afterAutospacing="0"/>
        <w:jc w:val="both"/>
        <w:rPr>
          <w:b/>
        </w:rPr>
      </w:pPr>
      <w:r w:rsidRPr="001912B9">
        <w:rPr>
          <w:rStyle w:val="characterstyle1"/>
          <w:b/>
          <w:lang w:val="es-ES_tradnl"/>
        </w:rPr>
        <w:t>De otra parte, para</w:t>
      </w:r>
      <w:r w:rsidRPr="001912B9">
        <w:rPr>
          <w:rStyle w:val="apple-converted-space"/>
          <w:b/>
          <w:lang w:val="es-ES_tradnl"/>
        </w:rPr>
        <w:t> </w:t>
      </w:r>
      <w:r w:rsidRPr="001912B9">
        <w:rPr>
          <w:rStyle w:val="characterstyle1"/>
          <w:b/>
          <w:lang w:val="es-ES_tradnl"/>
        </w:rPr>
        <w:t>la</w:t>
      </w:r>
      <w:r w:rsidRPr="001912B9">
        <w:rPr>
          <w:rStyle w:val="apple-converted-space"/>
          <w:b/>
          <w:lang w:val="es-ES_tradnl"/>
        </w:rPr>
        <w:t> </w:t>
      </w:r>
      <w:r w:rsidRPr="001912B9">
        <w:rPr>
          <w:rStyle w:val="characterstyle1"/>
          <w:b/>
          <w:lang w:val="es-ES_tradnl"/>
        </w:rPr>
        <w:t>depuración del impuesto anual el sujeto pasivo podrá detraer solamente los conceptos que expresamente consagró el artículo 22 de la Ley 1607 de 2012, en consecuencia aquellos conceptos que en el impuesto sobre la renta y complementarios tienen el carácter de no gravados pero que no están expresamente señalados en el mencionado artículo 22 de la Ley 1607/12, se encuentran sometidos al impuesto sobre la renta para la equidad CREE.</w:t>
      </w:r>
    </w:p>
    <w:p w:rsidR="00071ED4" w:rsidRPr="001912B9" w:rsidRDefault="00071ED4" w:rsidP="00071ED4">
      <w:pPr>
        <w:pStyle w:val="style4"/>
        <w:spacing w:before="0" w:beforeAutospacing="0" w:after="0" w:afterAutospacing="0"/>
        <w:jc w:val="both"/>
        <w:rPr>
          <w:b/>
        </w:rPr>
      </w:pPr>
      <w:r w:rsidRPr="001912B9">
        <w:rPr>
          <w:rStyle w:val="characterstyle1"/>
          <w:b/>
          <w:lang w:val="es-ES_tradnl"/>
        </w:rPr>
        <w:t> </w:t>
      </w:r>
    </w:p>
    <w:p w:rsidR="00071ED4" w:rsidRPr="001912B9" w:rsidRDefault="00071ED4" w:rsidP="00071ED4">
      <w:pPr>
        <w:pStyle w:val="style4"/>
        <w:spacing w:before="0" w:beforeAutospacing="0" w:after="0" w:afterAutospacing="0"/>
        <w:jc w:val="both"/>
        <w:rPr>
          <w:b/>
        </w:rPr>
      </w:pPr>
      <w:r w:rsidRPr="001912B9">
        <w:rPr>
          <w:rStyle w:val="characterstyle1"/>
          <w:b/>
          <w:lang w:val="es-ES_tradnl"/>
        </w:rPr>
        <w:t>3-</w:t>
      </w:r>
      <w:r w:rsidRPr="001912B9">
        <w:rPr>
          <w:rStyle w:val="apple-converted-space"/>
          <w:b/>
          <w:lang w:val="es-ES_tradnl"/>
        </w:rPr>
        <w:t> </w:t>
      </w:r>
      <w:r w:rsidRPr="001912B9">
        <w:rPr>
          <w:rStyle w:val="characterstyle1"/>
          <w:b/>
          <w:lang w:val="es-ES_tradnl"/>
        </w:rPr>
        <w:t>En relación con su pregunta sobre el método para determinar el valor a tomar en la retención por inversiones de portafolio para efectos de la retención, hay que señalar de manera general que la retención procede sobre el total del pago o abono en cuenta percibido por el beneficiario que a la vez sea sujeto pasivo del impuesto sobre la renta para la equidad CREE.</w:t>
      </w:r>
    </w:p>
    <w:p w:rsidR="00071ED4" w:rsidRPr="001912B9" w:rsidRDefault="00071ED4" w:rsidP="00071ED4">
      <w:pPr>
        <w:pStyle w:val="style4"/>
        <w:spacing w:before="0" w:beforeAutospacing="0" w:after="0" w:afterAutospacing="0"/>
        <w:jc w:val="both"/>
        <w:rPr>
          <w:b/>
        </w:rPr>
      </w:pPr>
      <w:r w:rsidRPr="001912B9">
        <w:rPr>
          <w:rStyle w:val="characterstyle1"/>
          <w:b/>
          <w:lang w:val="es-ES_tradnl"/>
        </w:rPr>
        <w:t> </w:t>
      </w:r>
    </w:p>
    <w:p w:rsidR="00071ED4" w:rsidRPr="001912B9" w:rsidRDefault="00071ED4" w:rsidP="00071ED4">
      <w:pPr>
        <w:pStyle w:val="style4"/>
        <w:spacing w:before="0" w:beforeAutospacing="0" w:after="0" w:afterAutospacing="0"/>
        <w:jc w:val="both"/>
        <w:rPr>
          <w:b/>
        </w:rPr>
      </w:pPr>
      <w:r w:rsidRPr="001912B9">
        <w:rPr>
          <w:rStyle w:val="characterstyle1"/>
          <w:b/>
          <w:lang w:val="es-ES_tradnl"/>
        </w:rPr>
        <w:t>4-</w:t>
      </w:r>
      <w:r w:rsidRPr="001912B9">
        <w:rPr>
          <w:rStyle w:val="apple-converted-space"/>
          <w:b/>
          <w:lang w:val="es-ES_tradnl"/>
        </w:rPr>
        <w:t> </w:t>
      </w:r>
      <w:r w:rsidRPr="001912B9">
        <w:rPr>
          <w:rStyle w:val="characterstyle1"/>
          <w:b/>
          <w:lang w:val="es-ES_tradnl"/>
        </w:rPr>
        <w:t>Respecto de su pregunta sobre las bases mínimas de retención, el Decreto 862 de 2013 no las estableció.</w:t>
      </w:r>
    </w:p>
    <w:p w:rsidR="00071ED4" w:rsidRPr="001912B9" w:rsidRDefault="00071ED4" w:rsidP="00071ED4">
      <w:pPr>
        <w:pStyle w:val="style4"/>
        <w:spacing w:before="0" w:beforeAutospacing="0" w:after="0" w:afterAutospacing="0"/>
        <w:jc w:val="both"/>
        <w:rPr>
          <w:b/>
        </w:rPr>
      </w:pPr>
      <w:r w:rsidRPr="001912B9">
        <w:rPr>
          <w:rStyle w:val="characterstyle1"/>
          <w:b/>
          <w:lang w:val="es-ES_tradnl"/>
        </w:rPr>
        <w:t> </w:t>
      </w:r>
    </w:p>
    <w:p w:rsidR="00071ED4" w:rsidRPr="001912B9" w:rsidRDefault="00071ED4" w:rsidP="00071ED4">
      <w:pPr>
        <w:pStyle w:val="style4"/>
        <w:spacing w:before="0" w:beforeAutospacing="0" w:after="0" w:afterAutospacing="0"/>
        <w:jc w:val="both"/>
        <w:rPr>
          <w:b/>
        </w:rPr>
      </w:pPr>
      <w:r w:rsidRPr="001912B9">
        <w:rPr>
          <w:rStyle w:val="characterstyle1"/>
          <w:b/>
          <w:lang w:val="es-ES_tradnl"/>
        </w:rPr>
        <w:t>5-</w:t>
      </w:r>
      <w:r w:rsidRPr="001912B9">
        <w:rPr>
          <w:rStyle w:val="apple-converted-space"/>
          <w:b/>
          <w:lang w:val="es-ES_tradnl"/>
        </w:rPr>
        <w:t> </w:t>
      </w:r>
      <w:r w:rsidRPr="001912B9">
        <w:rPr>
          <w:rStyle w:val="characterstyle1"/>
          <w:b/>
          <w:lang w:val="es-ES_tradnl"/>
        </w:rPr>
        <w:t>Pregunta si las personas naturales comerciantes son sujetos pasivos de CREE. El artículo 20 de la Ley es claro al señalar que solo son sujetos pasivos del Impuesto sobre la Renta para la Equidad (CREE):</w:t>
      </w:r>
    </w:p>
    <w:p w:rsidR="00071ED4" w:rsidRPr="001912B9" w:rsidRDefault="00071ED4" w:rsidP="00071ED4">
      <w:pPr>
        <w:pStyle w:val="style4"/>
        <w:spacing w:before="0" w:beforeAutospacing="0" w:after="0" w:afterAutospacing="0"/>
        <w:jc w:val="both"/>
        <w:rPr>
          <w:b/>
        </w:rPr>
      </w:pPr>
      <w:r w:rsidRPr="001912B9">
        <w:rPr>
          <w:rStyle w:val="characterstyle1"/>
          <w:b/>
          <w:lang w:val="es-ES_tradnl"/>
        </w:rPr>
        <w:t> </w:t>
      </w:r>
    </w:p>
    <w:p w:rsidR="00071ED4" w:rsidRPr="001912B9" w:rsidRDefault="00071ED4" w:rsidP="00071ED4">
      <w:pPr>
        <w:pStyle w:val="style4"/>
        <w:spacing w:before="0" w:beforeAutospacing="0" w:after="0" w:afterAutospacing="0"/>
        <w:jc w:val="both"/>
      </w:pPr>
      <w:r w:rsidRPr="001912B9">
        <w:rPr>
          <w:rStyle w:val="characterstyle1"/>
          <w:lang w:val="es-ES_tradnl"/>
        </w:rPr>
        <w:t>a-</w:t>
      </w:r>
      <w:r w:rsidRPr="001912B9">
        <w:rPr>
          <w:rStyle w:val="apple-converted-space"/>
          <w:lang w:val="es-ES_tradnl"/>
        </w:rPr>
        <w:t> </w:t>
      </w:r>
      <w:r w:rsidRPr="001912B9">
        <w:rPr>
          <w:rStyle w:val="characterstyle1"/>
          <w:lang w:val="es-ES_tradnl"/>
        </w:rPr>
        <w:t>las sociedades y personas jurídicas y asimiladas contribuyentes declarantes del impuesto sobre la renta.</w:t>
      </w:r>
    </w:p>
    <w:p w:rsidR="00C424D1" w:rsidRPr="001912B9" w:rsidRDefault="00C424D1" w:rsidP="00071ED4">
      <w:pPr>
        <w:pStyle w:val="style4"/>
        <w:spacing w:before="0" w:beforeAutospacing="0" w:after="0" w:afterAutospacing="0"/>
        <w:jc w:val="both"/>
        <w:rPr>
          <w:rStyle w:val="characterstyle1"/>
          <w:lang w:val="es-ES_tradnl"/>
        </w:rPr>
      </w:pPr>
    </w:p>
    <w:p w:rsidR="00071ED4" w:rsidRPr="001912B9" w:rsidRDefault="00071ED4" w:rsidP="00071ED4">
      <w:pPr>
        <w:pStyle w:val="style4"/>
        <w:spacing w:before="0" w:beforeAutospacing="0" w:after="0" w:afterAutospacing="0"/>
        <w:jc w:val="both"/>
      </w:pPr>
      <w:r w:rsidRPr="001912B9">
        <w:rPr>
          <w:rStyle w:val="characterstyle1"/>
          <w:lang w:val="es-ES_tradnl"/>
        </w:rPr>
        <w:t>b-</w:t>
      </w:r>
      <w:r w:rsidRPr="001912B9">
        <w:rPr>
          <w:rStyle w:val="apple-converted-space"/>
          <w:lang w:val="es-ES_tradnl"/>
        </w:rPr>
        <w:t> </w:t>
      </w:r>
      <w:r w:rsidRPr="001912B9">
        <w:rPr>
          <w:rStyle w:val="characterstyle1"/>
          <w:lang w:val="es-ES_tradnl"/>
        </w:rPr>
        <w:t>las sociedades y entidades extranjeras contribuyentes declarantes del impuesto sobre la renta por sus ingresos de fuente nacional obtenidos mediante sucursales y establecimientos permanentes.</w:t>
      </w:r>
    </w:p>
    <w:p w:rsidR="00071ED4" w:rsidRPr="001912B9" w:rsidRDefault="00071ED4" w:rsidP="00071ED4">
      <w:pPr>
        <w:pStyle w:val="style4"/>
        <w:spacing w:before="0" w:beforeAutospacing="0" w:after="0" w:afterAutospacing="0"/>
        <w:jc w:val="both"/>
      </w:pPr>
      <w:r w:rsidRPr="001912B9">
        <w:rPr>
          <w:rStyle w:val="characterstyle1"/>
          <w:lang w:val="es-ES_tradnl"/>
        </w:rPr>
        <w:t> </w:t>
      </w:r>
    </w:p>
    <w:p w:rsidR="00071ED4" w:rsidRPr="001912B9" w:rsidRDefault="00071ED4" w:rsidP="00071ED4">
      <w:pPr>
        <w:pStyle w:val="style4"/>
        <w:spacing w:before="0" w:beforeAutospacing="0" w:after="0" w:afterAutospacing="0"/>
        <w:jc w:val="both"/>
      </w:pPr>
      <w:r w:rsidRPr="001912B9">
        <w:rPr>
          <w:rStyle w:val="characterstyle1"/>
          <w:lang w:val="es-ES_tradnl"/>
        </w:rPr>
        <w:t>Lo anterior, sin perjuicio de su calidad de agentes de retención del impuesto cuando estas personas naturales sean comerciantes que cumplan los topes de ingresos y patrimonio fijados en el</w:t>
      </w:r>
      <w:r w:rsidRPr="001912B9">
        <w:rPr>
          <w:rStyle w:val="apple-converted-space"/>
          <w:lang w:val="es-ES_tradnl"/>
        </w:rPr>
        <w:t> </w:t>
      </w:r>
      <w:hyperlink r:id="rId5" w:tooltip="Estatuto Tributario CETA" w:history="1">
        <w:r w:rsidRPr="001912B9">
          <w:rPr>
            <w:rStyle w:val="Hipervnculo"/>
            <w:color w:val="auto"/>
            <w:lang w:val="es-ES_tradnl"/>
          </w:rPr>
          <w:t>artículo 368-2</w:t>
        </w:r>
      </w:hyperlink>
      <w:r w:rsidRPr="001912B9">
        <w:rPr>
          <w:rStyle w:val="apple-converted-space"/>
          <w:lang w:val="es-ES_tradnl"/>
        </w:rPr>
        <w:t> </w:t>
      </w:r>
      <w:r w:rsidRPr="001912B9">
        <w:rPr>
          <w:rStyle w:val="characterstyle1"/>
          <w:lang w:val="es-ES_tradnl"/>
        </w:rPr>
        <w:t>del Estatuto Tributario.</w:t>
      </w:r>
    </w:p>
    <w:p w:rsidR="00071ED4" w:rsidRPr="001912B9" w:rsidRDefault="00071ED4" w:rsidP="00071ED4">
      <w:pPr>
        <w:pStyle w:val="style4"/>
        <w:spacing w:before="0" w:beforeAutospacing="0" w:after="0" w:afterAutospacing="0"/>
        <w:jc w:val="both"/>
      </w:pPr>
      <w:r w:rsidRPr="001912B9">
        <w:rPr>
          <w:rStyle w:val="characterstyle1"/>
          <w:lang w:val="es-ES_tradnl"/>
        </w:rPr>
        <w:t> </w:t>
      </w:r>
    </w:p>
    <w:p w:rsidR="00071ED4" w:rsidRPr="001912B9" w:rsidRDefault="00071ED4" w:rsidP="00071ED4">
      <w:pPr>
        <w:pStyle w:val="style1"/>
        <w:spacing w:before="0" w:beforeAutospacing="0" w:after="0" w:afterAutospacing="0"/>
        <w:jc w:val="both"/>
        <w:rPr>
          <w:b/>
        </w:rPr>
      </w:pPr>
      <w:r w:rsidRPr="001912B9">
        <w:rPr>
          <w:b/>
          <w:lang w:val="es-ES_tradnl"/>
        </w:rPr>
        <w:t>6- Pregunta cómo se debe exigir el código de la actividad económica del proveedor.</w:t>
      </w:r>
    </w:p>
    <w:p w:rsidR="00071ED4" w:rsidRPr="001912B9" w:rsidRDefault="00071ED4" w:rsidP="00071ED4">
      <w:pPr>
        <w:pStyle w:val="style4"/>
        <w:spacing w:before="0" w:beforeAutospacing="0" w:after="0" w:afterAutospacing="0"/>
        <w:jc w:val="both"/>
        <w:rPr>
          <w:b/>
        </w:rPr>
      </w:pPr>
      <w:r w:rsidRPr="001912B9">
        <w:rPr>
          <w:rStyle w:val="characterstyle1"/>
          <w:b/>
        </w:rPr>
        <w:t> </w:t>
      </w:r>
    </w:p>
    <w:p w:rsidR="00071ED4" w:rsidRPr="001912B9" w:rsidRDefault="00071ED4" w:rsidP="00071ED4">
      <w:pPr>
        <w:pStyle w:val="style4"/>
        <w:spacing w:before="0" w:beforeAutospacing="0" w:after="0" w:afterAutospacing="0"/>
        <w:jc w:val="both"/>
      </w:pPr>
      <w:r w:rsidRPr="001912B9">
        <w:rPr>
          <w:rStyle w:val="characterstyle1"/>
          <w:lang w:val="es-ES_tradnl"/>
        </w:rPr>
        <w:t>Al respecto atentamente le sugerimos remitirse al parágrafo transitorio del artículo […] del Decreto 862 de abril 26 de 2013 que contempla lo planteado en la consulta.</w:t>
      </w:r>
    </w:p>
    <w:p w:rsidR="00071ED4" w:rsidRPr="001912B9" w:rsidRDefault="00071ED4" w:rsidP="00071ED4">
      <w:pPr>
        <w:pStyle w:val="style4"/>
        <w:spacing w:before="0" w:beforeAutospacing="0" w:after="0" w:afterAutospacing="0"/>
        <w:jc w:val="both"/>
      </w:pPr>
      <w:r w:rsidRPr="001912B9">
        <w:rPr>
          <w:rStyle w:val="characterstyle1"/>
          <w:lang w:val="es-ES_tradnl"/>
        </w:rPr>
        <w:t> </w:t>
      </w:r>
    </w:p>
    <w:p w:rsidR="00071ED4" w:rsidRPr="001912B9" w:rsidRDefault="00071ED4" w:rsidP="00071ED4">
      <w:pPr>
        <w:pStyle w:val="style4"/>
        <w:spacing w:before="0" w:beforeAutospacing="0" w:after="0" w:afterAutospacing="0"/>
        <w:jc w:val="both"/>
      </w:pPr>
      <w:r w:rsidRPr="001912B9">
        <w:rPr>
          <w:rStyle w:val="characterstyle1"/>
          <w:lang w:val="es-ES_tradnl"/>
        </w:rPr>
        <w:t>7- Finalmente en cuanto a la retención en el caso de consorcios y uniones temporales, el artículo 9 del mencionado decreto es claro al señalar:</w:t>
      </w:r>
    </w:p>
    <w:p w:rsidR="00071ED4" w:rsidRPr="001912B9" w:rsidRDefault="00071ED4" w:rsidP="00071ED4">
      <w:pPr>
        <w:pStyle w:val="style1"/>
        <w:spacing w:before="0" w:beforeAutospacing="0" w:after="0" w:afterAutospacing="0"/>
        <w:ind w:left="284"/>
        <w:jc w:val="both"/>
        <w:rPr>
          <w:lang w:val="es-ES_tradnl"/>
        </w:rPr>
      </w:pPr>
    </w:p>
    <w:p w:rsidR="00071ED4" w:rsidRPr="001912B9" w:rsidRDefault="00071ED4" w:rsidP="00071ED4">
      <w:pPr>
        <w:pStyle w:val="style1"/>
        <w:spacing w:before="0" w:beforeAutospacing="0" w:after="0" w:afterAutospacing="0"/>
        <w:ind w:left="284"/>
        <w:jc w:val="both"/>
        <w:rPr>
          <w:lang w:val="es-ES_tradnl"/>
        </w:rPr>
      </w:pPr>
    </w:p>
    <w:p w:rsidR="00071ED4" w:rsidRPr="001912B9" w:rsidRDefault="00071ED4" w:rsidP="00071ED4">
      <w:pPr>
        <w:pStyle w:val="style1"/>
        <w:spacing w:before="0" w:beforeAutospacing="0" w:after="0" w:afterAutospacing="0"/>
        <w:ind w:left="284"/>
        <w:jc w:val="both"/>
      </w:pPr>
      <w:r w:rsidRPr="001912B9">
        <w:rPr>
          <w:lang w:val="es-ES_tradnl"/>
        </w:rPr>
        <w:t>"En el evento en el que la facturación la efectúe el consorcio o unión temporal bajo su propio</w:t>
      </w:r>
      <w:r w:rsidRPr="001912B9">
        <w:rPr>
          <w:rStyle w:val="apple-converted-space"/>
          <w:lang w:val="es-ES_tradnl"/>
        </w:rPr>
        <w:t> </w:t>
      </w:r>
      <w:r w:rsidRPr="001912B9">
        <w:rPr>
          <w:rStyle w:val="spelle"/>
          <w:lang w:val="es-ES_tradnl"/>
        </w:rPr>
        <w:t>NIT</w:t>
      </w:r>
      <w:r w:rsidRPr="001912B9">
        <w:rPr>
          <w:lang w:val="es-ES_tradnl"/>
        </w:rPr>
        <w:t xml:space="preserve">, de conformidad con lo establecido en el artículo 11 del Decreto 3050 de 1997, la factura, además de señalar el porcentaje o valor del ingreso que corresponda a </w:t>
      </w:r>
      <w:r w:rsidRPr="001912B9">
        <w:rPr>
          <w:lang w:val="es-ES_tradnl"/>
        </w:rPr>
        <w:lastRenderedPageBreak/>
        <w:t>cada uno de los miembros del consorcio o unión temporal, indicará el nombre o razón social y el</w:t>
      </w:r>
      <w:r w:rsidRPr="001912B9">
        <w:rPr>
          <w:rStyle w:val="apple-converted-space"/>
          <w:lang w:val="es-ES_tradnl"/>
        </w:rPr>
        <w:t> </w:t>
      </w:r>
      <w:r w:rsidRPr="001912B9">
        <w:rPr>
          <w:rStyle w:val="spelle"/>
          <w:lang w:val="es-ES_tradnl"/>
        </w:rPr>
        <w:t>NIT</w:t>
      </w:r>
      <w:r w:rsidRPr="001912B9">
        <w:rPr>
          <w:rStyle w:val="apple-converted-space"/>
          <w:lang w:val="es-ES_tradnl"/>
        </w:rPr>
        <w:t> </w:t>
      </w:r>
      <w:r w:rsidRPr="001912B9">
        <w:rPr>
          <w:lang w:val="es-ES_tradnl"/>
        </w:rPr>
        <w:t>de cada uno de ellos.</w:t>
      </w:r>
    </w:p>
    <w:p w:rsidR="00071ED4" w:rsidRPr="001912B9" w:rsidRDefault="00071ED4" w:rsidP="00071ED4">
      <w:pPr>
        <w:pStyle w:val="style1"/>
        <w:spacing w:before="0" w:beforeAutospacing="0" w:after="0" w:afterAutospacing="0"/>
        <w:ind w:left="284"/>
        <w:jc w:val="both"/>
      </w:pPr>
      <w:r w:rsidRPr="001912B9">
        <w:rPr>
          <w:lang w:val="es-ES_tradnl"/>
        </w:rPr>
        <w:t> </w:t>
      </w:r>
    </w:p>
    <w:p w:rsidR="00071ED4" w:rsidRPr="001912B9" w:rsidRDefault="00071ED4" w:rsidP="00071ED4">
      <w:pPr>
        <w:pStyle w:val="style1"/>
        <w:spacing w:before="0" w:beforeAutospacing="0" w:after="0" w:afterAutospacing="0"/>
        <w:ind w:left="284"/>
        <w:jc w:val="both"/>
      </w:pPr>
      <w:r w:rsidRPr="001912B9">
        <w:rPr>
          <w:lang w:val="es-ES_tradnl"/>
        </w:rPr>
        <w:t>Estas facturas deberán cumplir los requisitos señalados en las disposiciones legales y reglamentarias.</w:t>
      </w:r>
    </w:p>
    <w:p w:rsidR="00071ED4" w:rsidRPr="001912B9" w:rsidRDefault="00071ED4" w:rsidP="00071ED4">
      <w:pPr>
        <w:pStyle w:val="style1"/>
        <w:spacing w:before="0" w:beforeAutospacing="0" w:after="0" w:afterAutospacing="0"/>
        <w:ind w:left="284"/>
        <w:jc w:val="both"/>
      </w:pPr>
      <w:r w:rsidRPr="001912B9">
        <w:rPr>
          <w:lang w:val="es-ES_tradnl"/>
        </w:rPr>
        <w:t> </w:t>
      </w:r>
    </w:p>
    <w:p w:rsidR="00071ED4" w:rsidRPr="001912B9" w:rsidRDefault="00071ED4" w:rsidP="00071ED4">
      <w:pPr>
        <w:pStyle w:val="style1"/>
        <w:spacing w:before="0" w:beforeAutospacing="0" w:after="0" w:afterAutospacing="0"/>
        <w:ind w:left="284"/>
        <w:jc w:val="both"/>
      </w:pPr>
      <w:r w:rsidRPr="001912B9">
        <w:rPr>
          <w:lang w:val="es-ES_tradnl"/>
        </w:rPr>
        <w:t>En el evento previsto en el inciso anterior, quien efectúe el pago o abono en cuenta deberá practicar al consorcio o unión temporal la respectiva retención en la fuente a título del impuesto sobre la renta para la equidad – CREE, y corresponderá a cada uno de sus miembros asumir la retención en la fuente a prorrata de su participación en el ingreso facturado."</w:t>
      </w:r>
    </w:p>
    <w:p w:rsidR="00071ED4" w:rsidRPr="001912B9" w:rsidRDefault="00071ED4" w:rsidP="00071ED4">
      <w:pPr>
        <w:pStyle w:val="style1"/>
        <w:spacing w:before="0" w:beforeAutospacing="0" w:after="0" w:afterAutospacing="0"/>
        <w:jc w:val="both"/>
      </w:pPr>
      <w:r w:rsidRPr="001912B9">
        <w:rPr>
          <w:lang w:val="es-ES_tradnl"/>
        </w:rPr>
        <w:t> </w:t>
      </w:r>
    </w:p>
    <w:p w:rsidR="00071ED4" w:rsidRPr="001912B9" w:rsidRDefault="00071ED4" w:rsidP="00071ED4">
      <w:pPr>
        <w:pStyle w:val="style1"/>
        <w:spacing w:before="0" w:beforeAutospacing="0" w:after="0" w:afterAutospacing="0"/>
        <w:jc w:val="both"/>
        <w:rPr>
          <w:b/>
        </w:rPr>
      </w:pPr>
      <w:r w:rsidRPr="001912B9">
        <w:rPr>
          <w:b/>
          <w:lang w:val="es-ES_tradnl"/>
        </w:rPr>
        <w:t>Lo anterior en el entendido que los integrantes del consorcio o alguno de ellos individualmente considerado sea sujeto pasivo del impuesto, en caso que no lo sean, no procederá la práctica de la retención.</w:t>
      </w:r>
    </w:p>
    <w:p w:rsidR="00071ED4" w:rsidRPr="001912B9" w:rsidRDefault="00071ED4" w:rsidP="00071ED4">
      <w:pPr>
        <w:pStyle w:val="style1"/>
        <w:spacing w:before="0" w:beforeAutospacing="0" w:after="0" w:afterAutospacing="0"/>
        <w:jc w:val="both"/>
      </w:pPr>
      <w:r w:rsidRPr="001912B9">
        <w:rPr>
          <w:lang w:val="es-ES_tradnl"/>
        </w:rPr>
        <w:t> </w:t>
      </w:r>
    </w:p>
    <w:p w:rsidR="00071ED4" w:rsidRPr="001912B9" w:rsidRDefault="00071ED4" w:rsidP="00071ED4">
      <w:pPr>
        <w:pStyle w:val="style1"/>
        <w:spacing w:before="0" w:beforeAutospacing="0" w:after="0" w:afterAutospacing="0"/>
        <w:jc w:val="both"/>
      </w:pPr>
      <w:r w:rsidRPr="001912B9">
        <w:rPr>
          <w:lang w:val="es-ES_tradnl"/>
        </w:rPr>
        <w:t> </w:t>
      </w:r>
    </w:p>
    <w:p w:rsidR="00071ED4" w:rsidRPr="001912B9" w:rsidRDefault="00071ED4" w:rsidP="00071ED4">
      <w:pPr>
        <w:pStyle w:val="style1"/>
        <w:spacing w:before="0" w:beforeAutospacing="0" w:after="0" w:afterAutospacing="0"/>
        <w:jc w:val="both"/>
      </w:pPr>
      <w:r w:rsidRPr="001912B9">
        <w:rPr>
          <w:lang w:val="es-ES_tradnl"/>
        </w:rPr>
        <w:t>Atentamente,</w:t>
      </w:r>
    </w:p>
    <w:p w:rsidR="00071ED4" w:rsidRPr="001912B9" w:rsidRDefault="00071ED4" w:rsidP="00071ED4">
      <w:pPr>
        <w:pStyle w:val="style1"/>
        <w:spacing w:before="0" w:beforeAutospacing="0" w:after="0" w:afterAutospacing="0"/>
        <w:jc w:val="both"/>
      </w:pPr>
      <w:r w:rsidRPr="001912B9">
        <w:rPr>
          <w:b/>
          <w:bCs/>
          <w:lang w:val="es-ES_tradnl"/>
        </w:rPr>
        <w:t> </w:t>
      </w:r>
    </w:p>
    <w:p w:rsidR="00071ED4" w:rsidRPr="001912B9" w:rsidRDefault="00071ED4" w:rsidP="00071ED4">
      <w:pPr>
        <w:pStyle w:val="style1"/>
        <w:spacing w:before="0" w:beforeAutospacing="0" w:after="0" w:afterAutospacing="0"/>
        <w:jc w:val="both"/>
      </w:pPr>
      <w:r w:rsidRPr="001912B9">
        <w:rPr>
          <w:b/>
          <w:bCs/>
          <w:lang w:val="es-ES_tradnl"/>
        </w:rPr>
        <w:t> </w:t>
      </w:r>
    </w:p>
    <w:p w:rsidR="00071ED4" w:rsidRPr="001912B9" w:rsidRDefault="00071ED4" w:rsidP="00071ED4">
      <w:pPr>
        <w:pStyle w:val="style1"/>
        <w:spacing w:before="0" w:beforeAutospacing="0" w:after="0" w:afterAutospacing="0"/>
        <w:jc w:val="both"/>
      </w:pPr>
      <w:r w:rsidRPr="001912B9">
        <w:rPr>
          <w:b/>
          <w:bCs/>
          <w:lang w:val="es-ES_tradnl"/>
        </w:rPr>
        <w:t>LEONOR EUGENIA RUÍZ DE VILLALOBOS</w:t>
      </w:r>
    </w:p>
    <w:p w:rsidR="00071ED4" w:rsidRPr="001912B9" w:rsidRDefault="00071ED4" w:rsidP="00071ED4">
      <w:pPr>
        <w:pStyle w:val="style1"/>
        <w:spacing w:before="0" w:beforeAutospacing="0" w:after="0" w:afterAutospacing="0"/>
        <w:jc w:val="both"/>
      </w:pPr>
      <w:r w:rsidRPr="001912B9">
        <w:rPr>
          <w:lang w:val="es-ES_tradnl"/>
        </w:rPr>
        <w:t>Subdirectora de Gestión Normativa y Doctrina</w:t>
      </w:r>
    </w:p>
    <w:p w:rsidR="00071ED4" w:rsidRPr="001912B9" w:rsidRDefault="00C424D1" w:rsidP="00071ED4">
      <w:pPr>
        <w:pStyle w:val="NormalWeb"/>
        <w:spacing w:before="0" w:beforeAutospacing="0" w:after="285" w:afterAutospacing="0"/>
        <w:jc w:val="both"/>
      </w:pPr>
      <w:r w:rsidRPr="001912B9">
        <w:t>________________________________________________________</w:t>
      </w:r>
      <w:r w:rsidR="000A40DB">
        <w:t>________________</w:t>
      </w:r>
    </w:p>
    <w:p w:rsidR="00A01E49" w:rsidRPr="001912B9" w:rsidRDefault="00A01E49">
      <w:pPr>
        <w:rPr>
          <w:rFonts w:ascii="Times New Roman" w:hAnsi="Times New Roman" w:cs="Times New Roman"/>
          <w:sz w:val="24"/>
          <w:szCs w:val="24"/>
        </w:rPr>
      </w:pPr>
    </w:p>
    <w:p w:rsidR="00EB0764" w:rsidRPr="001912B9" w:rsidRDefault="00EB0764">
      <w:pPr>
        <w:rPr>
          <w:rFonts w:ascii="Times New Roman" w:hAnsi="Times New Roman" w:cs="Times New Roman"/>
          <w:sz w:val="24"/>
          <w:szCs w:val="24"/>
        </w:rPr>
      </w:pPr>
    </w:p>
    <w:sectPr w:rsidR="00EB0764" w:rsidRPr="001912B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ED4"/>
    <w:rsid w:val="00071ED4"/>
    <w:rsid w:val="000A40DB"/>
    <w:rsid w:val="001912B9"/>
    <w:rsid w:val="00A01E49"/>
    <w:rsid w:val="00C424D1"/>
    <w:rsid w:val="00EB076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1">
    <w:name w:val="style1"/>
    <w:basedOn w:val="Normal"/>
    <w:rsid w:val="00071ED4"/>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071ED4"/>
  </w:style>
  <w:style w:type="character" w:customStyle="1" w:styleId="spelle">
    <w:name w:val="spelle"/>
    <w:basedOn w:val="Fuentedeprrafopredeter"/>
    <w:rsid w:val="00071ED4"/>
  </w:style>
  <w:style w:type="character" w:styleId="Hipervnculo">
    <w:name w:val="Hyperlink"/>
    <w:basedOn w:val="Fuentedeprrafopredeter"/>
    <w:uiPriority w:val="99"/>
    <w:semiHidden/>
    <w:unhideWhenUsed/>
    <w:rsid w:val="00071ED4"/>
    <w:rPr>
      <w:color w:val="0000FF"/>
      <w:u w:val="single"/>
    </w:rPr>
  </w:style>
  <w:style w:type="paragraph" w:styleId="NormalWeb">
    <w:name w:val="Normal (Web)"/>
    <w:basedOn w:val="Normal"/>
    <w:uiPriority w:val="99"/>
    <w:semiHidden/>
    <w:unhideWhenUsed/>
    <w:rsid w:val="00071ED4"/>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style3">
    <w:name w:val="style3"/>
    <w:basedOn w:val="Normal"/>
    <w:rsid w:val="00071ED4"/>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characterstyle1">
    <w:name w:val="characterstyle1"/>
    <w:basedOn w:val="Fuentedeprrafopredeter"/>
    <w:rsid w:val="00071ED4"/>
  </w:style>
  <w:style w:type="paragraph" w:customStyle="1" w:styleId="style2">
    <w:name w:val="style2"/>
    <w:basedOn w:val="Normal"/>
    <w:rsid w:val="00071ED4"/>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style4">
    <w:name w:val="style4"/>
    <w:basedOn w:val="Normal"/>
    <w:rsid w:val="00071ED4"/>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1">
    <w:name w:val="style1"/>
    <w:basedOn w:val="Normal"/>
    <w:rsid w:val="00071ED4"/>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071ED4"/>
  </w:style>
  <w:style w:type="character" w:customStyle="1" w:styleId="spelle">
    <w:name w:val="spelle"/>
    <w:basedOn w:val="Fuentedeprrafopredeter"/>
    <w:rsid w:val="00071ED4"/>
  </w:style>
  <w:style w:type="character" w:styleId="Hipervnculo">
    <w:name w:val="Hyperlink"/>
    <w:basedOn w:val="Fuentedeprrafopredeter"/>
    <w:uiPriority w:val="99"/>
    <w:semiHidden/>
    <w:unhideWhenUsed/>
    <w:rsid w:val="00071ED4"/>
    <w:rPr>
      <w:color w:val="0000FF"/>
      <w:u w:val="single"/>
    </w:rPr>
  </w:style>
  <w:style w:type="paragraph" w:styleId="NormalWeb">
    <w:name w:val="Normal (Web)"/>
    <w:basedOn w:val="Normal"/>
    <w:uiPriority w:val="99"/>
    <w:semiHidden/>
    <w:unhideWhenUsed/>
    <w:rsid w:val="00071ED4"/>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style3">
    <w:name w:val="style3"/>
    <w:basedOn w:val="Normal"/>
    <w:rsid w:val="00071ED4"/>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characterstyle1">
    <w:name w:val="characterstyle1"/>
    <w:basedOn w:val="Fuentedeprrafopredeter"/>
    <w:rsid w:val="00071ED4"/>
  </w:style>
  <w:style w:type="paragraph" w:customStyle="1" w:styleId="style2">
    <w:name w:val="style2"/>
    <w:basedOn w:val="Normal"/>
    <w:rsid w:val="00071ED4"/>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style4">
    <w:name w:val="style4"/>
    <w:basedOn w:val="Normal"/>
    <w:rsid w:val="00071ED4"/>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161535">
      <w:bodyDiv w:val="1"/>
      <w:marLeft w:val="0"/>
      <w:marRight w:val="0"/>
      <w:marTop w:val="0"/>
      <w:marBottom w:val="0"/>
      <w:divBdr>
        <w:top w:val="none" w:sz="0" w:space="0" w:color="auto"/>
        <w:left w:val="none" w:sz="0" w:space="0" w:color="auto"/>
        <w:bottom w:val="none" w:sz="0" w:space="0" w:color="auto"/>
        <w:right w:val="none" w:sz="0" w:space="0" w:color="auto"/>
      </w:divBdr>
    </w:div>
    <w:div w:id="900675969">
      <w:bodyDiv w:val="1"/>
      <w:marLeft w:val="0"/>
      <w:marRight w:val="0"/>
      <w:marTop w:val="0"/>
      <w:marBottom w:val="0"/>
      <w:divBdr>
        <w:top w:val="none" w:sz="0" w:space="0" w:color="auto"/>
        <w:left w:val="none" w:sz="0" w:space="0" w:color="auto"/>
        <w:bottom w:val="none" w:sz="0" w:space="0" w:color="auto"/>
        <w:right w:val="none" w:sz="0" w:space="0" w:color="auto"/>
      </w:divBdr>
    </w:div>
    <w:div w:id="1003820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eta.org.co/html/vista_de_un_articulo.asp?Norma=461"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914</Words>
  <Characters>5031</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5</cp:revision>
  <dcterms:created xsi:type="dcterms:W3CDTF">2013-08-30T13:07:00Z</dcterms:created>
  <dcterms:modified xsi:type="dcterms:W3CDTF">2013-09-21T22:58:00Z</dcterms:modified>
</cp:coreProperties>
</file>